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A0A1" w14:textId="77777777" w:rsidR="003D2900" w:rsidRPr="003D2900" w:rsidRDefault="003D2900" w:rsidP="003D2900">
      <w:pPr>
        <w:pStyle w:val="trt0xe"/>
        <w:numPr>
          <w:ilvl w:val="0"/>
          <w:numId w:val="1"/>
        </w:numPr>
        <w:shd w:val="clear" w:color="auto" w:fill="FFFFFF"/>
        <w:spacing w:before="0" w:beforeAutospacing="0" w:after="60" w:afterAutospacing="0"/>
        <w:rPr>
          <w:rFonts w:ascii="Arial" w:hAnsi="Arial" w:cs="Arial"/>
          <w:color w:val="202124"/>
          <w:lang w:val="nl-NL"/>
        </w:rPr>
      </w:pPr>
      <w:r w:rsidRPr="003D2900">
        <w:rPr>
          <w:rFonts w:ascii="Arial" w:hAnsi="Arial" w:cs="Arial"/>
          <w:color w:val="202124"/>
          <w:lang w:val="nl-NL"/>
        </w:rPr>
        <w:t>de maximale energiebehoefte in kWh per m</w:t>
      </w:r>
      <w:r w:rsidRPr="003D2900">
        <w:rPr>
          <w:rFonts w:ascii="Arial" w:hAnsi="Arial" w:cs="Arial"/>
          <w:color w:val="202124"/>
          <w:vertAlign w:val="superscript"/>
          <w:lang w:val="nl-NL"/>
        </w:rPr>
        <w:t>2</w:t>
      </w:r>
      <w:r w:rsidRPr="003D2900">
        <w:rPr>
          <w:rFonts w:ascii="Arial" w:hAnsi="Arial" w:cs="Arial"/>
          <w:color w:val="202124"/>
          <w:lang w:val="nl-NL"/>
        </w:rPr>
        <w:t> gebruiksoppervlak per jaar.</w:t>
      </w:r>
    </w:p>
    <w:p w14:paraId="4601E919" w14:textId="77777777" w:rsidR="003D2900" w:rsidRPr="003D2900" w:rsidRDefault="003D2900" w:rsidP="003D2900">
      <w:pPr>
        <w:pStyle w:val="trt0xe"/>
        <w:numPr>
          <w:ilvl w:val="0"/>
          <w:numId w:val="1"/>
        </w:numPr>
        <w:shd w:val="clear" w:color="auto" w:fill="FFFFFF"/>
        <w:spacing w:before="0" w:beforeAutospacing="0" w:after="60" w:afterAutospacing="0"/>
        <w:rPr>
          <w:rFonts w:ascii="Arial" w:hAnsi="Arial" w:cs="Arial"/>
          <w:color w:val="202124"/>
          <w:lang w:val="nl-NL"/>
        </w:rPr>
      </w:pPr>
      <w:r w:rsidRPr="003D2900">
        <w:rPr>
          <w:rFonts w:ascii="Arial" w:hAnsi="Arial" w:cs="Arial"/>
          <w:color w:val="202124"/>
          <w:lang w:val="nl-NL"/>
        </w:rPr>
        <w:t>het maximale primair fossiel energiegebruik, eveneens in kWh per m</w:t>
      </w:r>
      <w:r w:rsidRPr="003D2900">
        <w:rPr>
          <w:rFonts w:ascii="Arial" w:hAnsi="Arial" w:cs="Arial"/>
          <w:color w:val="202124"/>
          <w:vertAlign w:val="superscript"/>
          <w:lang w:val="nl-NL"/>
        </w:rPr>
        <w:t>2</w:t>
      </w:r>
      <w:r w:rsidRPr="003D2900">
        <w:rPr>
          <w:rFonts w:ascii="Arial" w:hAnsi="Arial" w:cs="Arial"/>
          <w:color w:val="202124"/>
          <w:lang w:val="nl-NL"/>
        </w:rPr>
        <w:t> gebruiksoppervlak per jaar.</w:t>
      </w:r>
    </w:p>
    <w:p w14:paraId="52584F27" w14:textId="77777777" w:rsidR="003D2900" w:rsidRPr="003D2900" w:rsidRDefault="003D2900" w:rsidP="003D2900">
      <w:pPr>
        <w:pStyle w:val="trt0xe"/>
        <w:numPr>
          <w:ilvl w:val="0"/>
          <w:numId w:val="1"/>
        </w:numPr>
        <w:shd w:val="clear" w:color="auto" w:fill="FFFFFF"/>
        <w:spacing w:before="0" w:beforeAutospacing="0" w:after="60" w:afterAutospacing="0"/>
        <w:rPr>
          <w:rFonts w:ascii="Arial" w:hAnsi="Arial" w:cs="Arial"/>
          <w:color w:val="202124"/>
          <w:lang w:val="nl-NL"/>
        </w:rPr>
      </w:pPr>
      <w:r w:rsidRPr="003D2900">
        <w:rPr>
          <w:rFonts w:ascii="Arial" w:hAnsi="Arial" w:cs="Arial"/>
          <w:color w:val="202124"/>
          <w:lang w:val="nl-NL"/>
        </w:rPr>
        <w:t>het minimale aandeel hernieuwbare energie in procenten.</w:t>
      </w:r>
    </w:p>
    <w:p w14:paraId="41B8C1A2" w14:textId="65B2926C" w:rsidR="00402A55" w:rsidRPr="00402A55" w:rsidRDefault="00402A55" w:rsidP="00402A55">
      <w:pPr>
        <w:pStyle w:val="Kop3"/>
        <w:shd w:val="clear" w:color="auto" w:fill="FFFFFF"/>
        <w:spacing w:after="15" w:afterAutospacing="0"/>
        <w:rPr>
          <w:rFonts w:ascii="Arial" w:hAnsi="Arial" w:cs="Arial"/>
          <w:b w:val="0"/>
          <w:bCs w:val="0"/>
          <w:color w:val="114476"/>
          <w:lang w:val="nl-NL"/>
        </w:rPr>
      </w:pPr>
      <w:r w:rsidRPr="00402A55">
        <w:rPr>
          <w:rFonts w:ascii="Arial" w:hAnsi="Arial" w:cs="Arial"/>
          <w:b w:val="0"/>
          <w:bCs w:val="0"/>
          <w:color w:val="114476"/>
          <w:lang w:val="nl-NL"/>
        </w:rPr>
        <w:t>1. Energiebehoefte</w:t>
      </w:r>
    </w:p>
    <w:p w14:paraId="6394132E" w14:textId="77777777" w:rsidR="00402A55" w:rsidRDefault="00402A55" w:rsidP="00402A55">
      <w:pPr>
        <w:rPr>
          <w:lang w:val="nl-NL"/>
        </w:rPr>
      </w:pPr>
      <w:r>
        <w:rPr>
          <w:lang w:val="nl-NL"/>
        </w:rPr>
        <w:t>Om de energiebehoefte te bepalen worden de verwarming en de koeling bij elkaar opgeteld. Hierbij word gekeken naar een optimale kwaliteit van de gebouwschil waarbij zowel de verhouding glas ten opzichte van dichte gevel, de mate van isolatie, de mate van kierdichting als de aanwezigheid van koudebruggen een rol speelt. Niet alleen isolatie, maar juist het samenspel van bovenstaande factoren, de vorm en de ligging van het gebouw zijn ook van belang om de energiebehoefte van een gebouw zo veel mogelijk te beperken. BENG 1 gaat over al deze factoren. Hierbij wordt gerekend met een vastgesteld ‘neutraal’ ventilatiesysteem. De energiebehoefte invullen kan met hernieuwbare of fossiele energie.</w:t>
      </w:r>
    </w:p>
    <w:p w14:paraId="3B0DDBEB" w14:textId="7ACD19F0" w:rsidR="00CB65C9" w:rsidRDefault="00CB65C9">
      <w:pPr>
        <w:rPr>
          <w:lang w:val="nl-NL"/>
        </w:rPr>
      </w:pPr>
    </w:p>
    <w:p w14:paraId="0EB4F7F9" w14:textId="57E026D7" w:rsidR="003D2900" w:rsidRDefault="003D2900" w:rsidP="003D2900">
      <w:pPr>
        <w:shd w:val="clear" w:color="auto" w:fill="FFFFFF"/>
        <w:spacing w:before="100" w:beforeAutospacing="1" w:after="15" w:line="240" w:lineRule="auto"/>
        <w:outlineLvl w:val="2"/>
        <w:rPr>
          <w:rFonts w:ascii="Arial" w:eastAsia="Times New Roman" w:hAnsi="Arial" w:cs="Arial"/>
          <w:color w:val="114476"/>
          <w:sz w:val="27"/>
          <w:szCs w:val="27"/>
          <w:lang w:val="nl-NL" w:eastAsia="de-DE"/>
        </w:rPr>
      </w:pPr>
      <w:r w:rsidRPr="003D2900">
        <w:rPr>
          <w:rFonts w:ascii="Arial" w:eastAsia="Times New Roman" w:hAnsi="Arial" w:cs="Arial"/>
          <w:color w:val="114476"/>
          <w:sz w:val="27"/>
          <w:szCs w:val="27"/>
          <w:lang w:val="nl-NL" w:eastAsia="de-DE"/>
        </w:rPr>
        <w:t>2. Primair fossiel energiegebruik</w:t>
      </w:r>
    </w:p>
    <w:p w14:paraId="01F0E3C5" w14:textId="77777777" w:rsidR="00402A55" w:rsidRPr="003D2900" w:rsidRDefault="00402A55" w:rsidP="00402A55">
      <w:pPr>
        <w:rPr>
          <w:lang w:val="nl-NL"/>
        </w:rPr>
      </w:pPr>
      <w:r>
        <w:rPr>
          <w:lang w:val="nl-NL"/>
        </w:rPr>
        <w:t>Het primair fossiel energiegebruik is een optelsom van het primair energiegebruik voor verwarming, koeling, warmtapwaterbereiding en ventilatoren. Voor utiliteitsgebouwen telt ook het primair energiegebruik voor verlichting en voor bevochtiging mee. Voor zowel woningen en utiliteitsgebouwen geldt dat, als er PV-panelen of andere hernieuwbare energiebronnen aanwezig zijn, de opgewekte energie van het primair energiegebruik wordt afgetrokken.</w:t>
      </w:r>
    </w:p>
    <w:p w14:paraId="4D3EEC02" w14:textId="77777777" w:rsidR="00402A55" w:rsidRPr="003D2900" w:rsidRDefault="00402A55" w:rsidP="003D2900">
      <w:pPr>
        <w:shd w:val="clear" w:color="auto" w:fill="FFFFFF"/>
        <w:spacing w:before="100" w:beforeAutospacing="1" w:after="15" w:line="240" w:lineRule="auto"/>
        <w:outlineLvl w:val="2"/>
        <w:rPr>
          <w:rFonts w:ascii="Arial" w:eastAsia="Times New Roman" w:hAnsi="Arial" w:cs="Arial"/>
          <w:color w:val="114476"/>
          <w:sz w:val="27"/>
          <w:szCs w:val="27"/>
          <w:lang w:val="nl-NL" w:eastAsia="de-DE"/>
        </w:rPr>
      </w:pPr>
    </w:p>
    <w:p w14:paraId="1B9B7968" w14:textId="63F20EEA" w:rsidR="006874DF" w:rsidRPr="00D954E9" w:rsidRDefault="003D2900" w:rsidP="00D954E9">
      <w:pPr>
        <w:shd w:val="clear" w:color="auto" w:fill="FFFFFF"/>
        <w:spacing w:before="100" w:beforeAutospacing="1" w:after="15" w:line="240" w:lineRule="auto"/>
        <w:outlineLvl w:val="2"/>
        <w:rPr>
          <w:rFonts w:ascii="Arial" w:eastAsia="Times New Roman" w:hAnsi="Arial" w:cs="Arial"/>
          <w:color w:val="114476"/>
          <w:sz w:val="27"/>
          <w:szCs w:val="27"/>
          <w:lang w:val="nl-NL" w:eastAsia="de-DE"/>
        </w:rPr>
      </w:pPr>
      <w:r w:rsidRPr="003D2900">
        <w:rPr>
          <w:rFonts w:ascii="Arial" w:eastAsia="Times New Roman" w:hAnsi="Arial" w:cs="Arial"/>
          <w:color w:val="114476"/>
          <w:sz w:val="27"/>
          <w:szCs w:val="27"/>
          <w:lang w:val="nl-NL" w:eastAsia="de-DE"/>
        </w:rPr>
        <w:t>3. Aandeel hernieuwbare energie</w:t>
      </w:r>
    </w:p>
    <w:p w14:paraId="6CE721D9" w14:textId="67D4A605" w:rsidR="00402A55" w:rsidRDefault="00402A55">
      <w:pPr>
        <w:rPr>
          <w:lang w:val="nl-NL"/>
        </w:rPr>
      </w:pPr>
      <w:r>
        <w:rPr>
          <w:lang w:val="nl-NL"/>
        </w:rPr>
        <w:t xml:space="preserve">Het aandeel hernieuwbare energie wordt bepaald door de hoeveelheid hernieuwbare energie te delen door het totaal van hernieuwbare energie en primair fossiel energiegebruik. De afkomst van hernieuwbare energie is </w:t>
      </w:r>
      <w:r w:rsidR="00D954E9">
        <w:rPr>
          <w:lang w:val="nl-NL"/>
        </w:rPr>
        <w:t>uit de zon, biomassa, buitenlucht en bodem en vergroten het aandeel hernieuwbare energie</w:t>
      </w:r>
      <w:r>
        <w:rPr>
          <w:lang w:val="nl-NL"/>
        </w:rPr>
        <w:t xml:space="preserve"> </w:t>
      </w:r>
    </w:p>
    <w:p w14:paraId="7EA765A2" w14:textId="39438769" w:rsidR="006874DF" w:rsidRPr="003D2900" w:rsidRDefault="006874DF">
      <w:pPr>
        <w:rPr>
          <w:lang w:val="nl-NL"/>
        </w:rPr>
      </w:pPr>
    </w:p>
    <w:sectPr w:rsidR="006874DF" w:rsidRPr="003D2900" w:rsidSect="00AB2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8E3"/>
    <w:multiLevelType w:val="multilevel"/>
    <w:tmpl w:val="349A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93E2C"/>
    <w:multiLevelType w:val="hybridMultilevel"/>
    <w:tmpl w:val="8B90A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AA51EB"/>
    <w:multiLevelType w:val="hybridMultilevel"/>
    <w:tmpl w:val="32C04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1223555">
    <w:abstractNumId w:val="0"/>
  </w:num>
  <w:num w:numId="2" w16cid:durableId="2137529493">
    <w:abstractNumId w:val="1"/>
  </w:num>
  <w:num w:numId="3" w16cid:durableId="18869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00"/>
    <w:rsid w:val="003D2900"/>
    <w:rsid w:val="00402A55"/>
    <w:rsid w:val="00404ED4"/>
    <w:rsid w:val="006679D1"/>
    <w:rsid w:val="006874DF"/>
    <w:rsid w:val="008E39EE"/>
    <w:rsid w:val="00903203"/>
    <w:rsid w:val="00947AAA"/>
    <w:rsid w:val="00AB2295"/>
    <w:rsid w:val="00CB65C9"/>
    <w:rsid w:val="00D954E9"/>
    <w:rsid w:val="00ED5889"/>
    <w:rsid w:val="00EF23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DFC"/>
  <w15:chartTrackingRefBased/>
  <w15:docId w15:val="{871F2136-94F3-4386-866B-D706EE3C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2A55"/>
    <w:rPr>
      <w:lang w:val="fr-FR"/>
    </w:rPr>
  </w:style>
  <w:style w:type="paragraph" w:styleId="Kop3">
    <w:name w:val="heading 3"/>
    <w:basedOn w:val="Standaard"/>
    <w:link w:val="Kop3Char"/>
    <w:uiPriority w:val="9"/>
    <w:qFormat/>
    <w:rsid w:val="003D2900"/>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rt0xe">
    <w:name w:val="trt0xe"/>
    <w:basedOn w:val="Standaard"/>
    <w:rsid w:val="003D290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Kop3Char">
    <w:name w:val="Kop 3 Char"/>
    <w:basedOn w:val="Standaardalinea-lettertype"/>
    <w:link w:val="Kop3"/>
    <w:uiPriority w:val="9"/>
    <w:rsid w:val="003D2900"/>
    <w:rPr>
      <w:rFonts w:ascii="Times New Roman" w:eastAsia="Times New Roman" w:hAnsi="Times New Roman" w:cs="Times New Roman"/>
      <w:b/>
      <w:bCs/>
      <w:sz w:val="27"/>
      <w:szCs w:val="27"/>
      <w:lang w:eastAsia="de-DE"/>
    </w:rPr>
  </w:style>
  <w:style w:type="paragraph" w:styleId="Normaalweb">
    <w:name w:val="Normal (Web)"/>
    <w:basedOn w:val="Standaard"/>
    <w:uiPriority w:val="99"/>
    <w:semiHidden/>
    <w:unhideWhenUsed/>
    <w:rsid w:val="003D2900"/>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5345">
      <w:bodyDiv w:val="1"/>
      <w:marLeft w:val="0"/>
      <w:marRight w:val="0"/>
      <w:marTop w:val="0"/>
      <w:marBottom w:val="0"/>
      <w:divBdr>
        <w:top w:val="none" w:sz="0" w:space="0" w:color="auto"/>
        <w:left w:val="none" w:sz="0" w:space="0" w:color="auto"/>
        <w:bottom w:val="none" w:sz="0" w:space="0" w:color="auto"/>
        <w:right w:val="none" w:sz="0" w:space="0" w:color="auto"/>
      </w:divBdr>
    </w:div>
    <w:div w:id="1680965490">
      <w:bodyDiv w:val="1"/>
      <w:marLeft w:val="0"/>
      <w:marRight w:val="0"/>
      <w:marTop w:val="0"/>
      <w:marBottom w:val="0"/>
      <w:divBdr>
        <w:top w:val="none" w:sz="0" w:space="0" w:color="auto"/>
        <w:left w:val="none" w:sz="0" w:space="0" w:color="auto"/>
        <w:bottom w:val="none" w:sz="0" w:space="0" w:color="auto"/>
        <w:right w:val="none" w:sz="0" w:space="0" w:color="auto"/>
      </w:divBdr>
    </w:div>
    <w:div w:id="18492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A3AF51591D64D9A5699EFDDE6F7DE" ma:contentTypeVersion="4" ma:contentTypeDescription="Een nieuw document maken." ma:contentTypeScope="" ma:versionID="794f117a4dab478fee182036f73b1113">
  <xsd:schema xmlns:xsd="http://www.w3.org/2001/XMLSchema" xmlns:xs="http://www.w3.org/2001/XMLSchema" xmlns:p="http://schemas.microsoft.com/office/2006/metadata/properties" xmlns:ns2="a977228f-0e21-461a-ad58-2ddcb3682868" xmlns:ns3="8435a83d-a561-43bf-a1a0-fe60be49cc7d" targetNamespace="http://schemas.microsoft.com/office/2006/metadata/properties" ma:root="true" ma:fieldsID="1ee00a6120ee80b4009fe232f43390ed" ns2:_="" ns3:_="">
    <xsd:import namespace="a977228f-0e21-461a-ad58-2ddcb3682868"/>
    <xsd:import namespace="8435a83d-a561-43bf-a1a0-fe60be49cc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228f-0e21-461a-ad58-2ddcb368286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5a83d-a561-43bf-a1a0-fe60be49cc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A6FBC-DF11-4B20-947F-18A441BB81D2}">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46F72B06-F82A-4972-8839-CB988FAAA9F5}">
  <ds:schemaRefs>
    <ds:schemaRef ds:uri="http://schemas.microsoft.com/sharepoint/v3/contenttype/forms"/>
  </ds:schemaRefs>
</ds:datastoreItem>
</file>

<file path=customXml/itemProps3.xml><?xml version="1.0" encoding="utf-8"?>
<ds:datastoreItem xmlns:ds="http://schemas.openxmlformats.org/officeDocument/2006/customXml" ds:itemID="{7AAC345C-A9C2-416A-BFBA-964B09A22E4C}"/>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Pahladsingh, F.E. (Finn)</dc:creator>
  <cp:keywords/>
  <dc:description/>
  <cp:lastModifiedBy>Pahladsingh, F.E. (Finn)</cp:lastModifiedBy>
  <cp:revision>2</cp:revision>
  <dcterms:created xsi:type="dcterms:W3CDTF">2022-04-01T20:28:00Z</dcterms:created>
  <dcterms:modified xsi:type="dcterms:W3CDTF">2022-04-01T20:28:00Z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0x010100656A3AF51591D64D9A5699EFDDE6F7DE</vt:lpwstr>
  </property>
</Properties>
</file>